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0A" w:rsidRDefault="0059008D" w:rsidP="0059008D">
      <w:r>
        <w:t>Homework 6</w:t>
      </w:r>
      <w:r w:rsidR="000F410A">
        <w:t xml:space="preserve">                                                                                            </w:t>
      </w:r>
      <w:r w:rsidR="000F410A">
        <w:tab/>
      </w:r>
      <w:r w:rsidR="000F410A">
        <w:tab/>
      </w:r>
      <w:r w:rsidR="000F410A">
        <w:tab/>
      </w:r>
      <w:r w:rsidR="000F410A">
        <w:tab/>
      </w:r>
      <w:r w:rsidR="000F410A">
        <w:tab/>
        <w:t xml:space="preserve"> </w:t>
      </w:r>
      <w:r w:rsidR="000F410A">
        <w:rPr>
          <w:noProof/>
        </w:rPr>
        <w:drawing>
          <wp:inline distT="0" distB="0" distL="0" distR="0">
            <wp:extent cx="398106" cy="388189"/>
            <wp:effectExtent l="19050" t="0" r="1944" b="0"/>
            <wp:docPr id="7" name="Picture 6" descr="Glob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e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72" cy="387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08D" w:rsidRPr="007E282A" w:rsidRDefault="0059008D" w:rsidP="0059008D">
      <w:r>
        <w:t xml:space="preserve">Due Date: </w:t>
      </w:r>
      <w:r w:rsidRPr="00EE7D1F">
        <w:rPr>
          <w:b/>
        </w:rPr>
        <w:t xml:space="preserve"> </w:t>
      </w:r>
      <w:r>
        <w:rPr>
          <w:b/>
        </w:rPr>
        <w:t>Thursday</w:t>
      </w:r>
      <w:r>
        <w:t xml:space="preserve"> November 4 by NOON</w:t>
      </w:r>
    </w:p>
    <w:p w:rsidR="009C3E14" w:rsidRDefault="004815B7" w:rsidP="007E282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NewRomanPSMT"/>
        </w:rPr>
      </w:pPr>
      <w:r w:rsidRPr="000A7FF8">
        <w:rPr>
          <w:rFonts w:asciiTheme="minorHAnsi" w:eastAsiaTheme="minorHAnsi" w:hAnsiTheme="minorHAnsi" w:cs="TimesNewRomanPSMT"/>
        </w:rPr>
        <w:t>Many studies have investigated the association between male circumcision and HIV</w:t>
      </w:r>
      <w:r w:rsidR="007E282A">
        <w:rPr>
          <w:rFonts w:asciiTheme="minorHAnsi" w:eastAsiaTheme="minorHAnsi" w:hAnsiTheme="minorHAnsi" w:cs="TimesNewRomanPSMT"/>
        </w:rPr>
        <w:t xml:space="preserve"> </w:t>
      </w:r>
      <w:r w:rsidRPr="000A7FF8">
        <w:rPr>
          <w:rFonts w:asciiTheme="minorHAnsi" w:eastAsiaTheme="minorHAnsi" w:hAnsiTheme="minorHAnsi" w:cs="TimesNewRomanPSMT"/>
        </w:rPr>
        <w:t>prevalence. One of the first studies (Bongaarts</w:t>
      </w:r>
      <w:r w:rsidR="000A7FF8">
        <w:rPr>
          <w:rFonts w:asciiTheme="minorHAnsi" w:eastAsiaTheme="minorHAnsi" w:hAnsiTheme="minorHAnsi" w:cs="TimesNewRomanPSMT"/>
        </w:rPr>
        <w:t xml:space="preserve"> et al,</w:t>
      </w:r>
      <w:r w:rsidRPr="000A7FF8">
        <w:rPr>
          <w:rFonts w:asciiTheme="minorHAnsi" w:eastAsiaTheme="minorHAnsi" w:hAnsiTheme="minorHAnsi" w:cs="TimesNewRomanPSMT"/>
        </w:rPr>
        <w:t xml:space="preserve"> 1989) examined the relationship between</w:t>
      </w:r>
      <w:r w:rsidR="007E282A">
        <w:rPr>
          <w:rFonts w:asciiTheme="minorHAnsi" w:eastAsiaTheme="minorHAnsi" w:hAnsiTheme="minorHAnsi" w:cs="TimesNewRomanPSMT"/>
        </w:rPr>
        <w:t xml:space="preserve"> </w:t>
      </w:r>
      <w:r w:rsidRPr="000A7FF8">
        <w:rPr>
          <w:rFonts w:asciiTheme="minorHAnsi" w:eastAsiaTheme="minorHAnsi" w:hAnsiTheme="minorHAnsi" w:cs="TimesNewRomanPSMT"/>
        </w:rPr>
        <w:t>percentage of males who were circumcised in 37 African countries and the HIV seroprevalence</w:t>
      </w:r>
      <w:r w:rsidR="007E282A">
        <w:rPr>
          <w:rFonts w:asciiTheme="minorHAnsi" w:eastAsiaTheme="minorHAnsi" w:hAnsiTheme="minorHAnsi" w:cs="TimesNewRomanPSMT"/>
        </w:rPr>
        <w:t xml:space="preserve"> </w:t>
      </w:r>
      <w:r w:rsidRPr="000A7FF8">
        <w:rPr>
          <w:rFonts w:asciiTheme="minorHAnsi" w:eastAsiaTheme="minorHAnsi" w:hAnsiTheme="minorHAnsi" w:cs="TimesNewRomanPSMT"/>
        </w:rPr>
        <w:t>in those countries based on estimates from the capital city. The authors report the two factors</w:t>
      </w:r>
      <w:r w:rsidR="007E282A">
        <w:rPr>
          <w:rFonts w:asciiTheme="minorHAnsi" w:eastAsiaTheme="minorHAnsi" w:hAnsiTheme="minorHAnsi" w:cs="TimesNewRomanPSMT"/>
        </w:rPr>
        <w:t xml:space="preserve"> </w:t>
      </w:r>
      <w:r w:rsidRPr="000A7FF8">
        <w:rPr>
          <w:rFonts w:asciiTheme="minorHAnsi" w:eastAsiaTheme="minorHAnsi" w:hAnsiTheme="minorHAnsi" w:cs="TimesNewRomanPSMT"/>
        </w:rPr>
        <w:t>were strongly correlated (</w:t>
      </w:r>
      <w:r w:rsidRPr="000A7FF8">
        <w:rPr>
          <w:rFonts w:asciiTheme="minorHAnsi" w:eastAsiaTheme="minorHAnsi" w:hAnsiTheme="minorHAnsi"/>
          <w:i/>
          <w:iCs/>
        </w:rPr>
        <w:t>p</w:t>
      </w:r>
      <w:r w:rsidRPr="000A7FF8">
        <w:rPr>
          <w:rFonts w:asciiTheme="minorHAnsi" w:eastAsiaTheme="minorHAnsi" w:hAnsiTheme="minorHAnsi" w:cs="TimesNewRomanPSMT"/>
        </w:rPr>
        <w:t xml:space="preserve">&lt;0.001). </w:t>
      </w:r>
    </w:p>
    <w:p w:rsidR="007E282A" w:rsidRPr="000A7FF8" w:rsidRDefault="007E282A" w:rsidP="007E282A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</w:p>
    <w:p w:rsidR="009C3E14" w:rsidRDefault="00653F04" w:rsidP="0059008D">
      <w:r>
        <w:t>For questions 1-8</w:t>
      </w:r>
      <w:r w:rsidR="007E282A">
        <w:t>, use t</w:t>
      </w:r>
      <w:r w:rsidR="000A7FF8" w:rsidRPr="004C6243">
        <w:t xml:space="preserve">he following scatterplot and </w:t>
      </w:r>
      <w:r w:rsidR="007E282A">
        <w:t>SAS</w:t>
      </w:r>
      <w:r w:rsidR="000A7FF8" w:rsidRPr="004C6243">
        <w:t xml:space="preserve"> output </w:t>
      </w:r>
      <w:r w:rsidR="007E282A">
        <w:t>correspond to the data from Bongaarts et al. We reproduce some of the calculations in the original article in order to study t</w:t>
      </w:r>
      <w:r w:rsidR="000A7FF8" w:rsidRPr="004C6243">
        <w:t xml:space="preserve">he relationship between </w:t>
      </w:r>
      <w:r w:rsidR="007E282A" w:rsidRPr="007E282A">
        <w:rPr>
          <w:rFonts w:asciiTheme="minorHAnsi" w:eastAsiaTheme="minorHAnsi" w:hAnsiTheme="minorHAnsi" w:cs="TimesNewRomanPSMT"/>
        </w:rPr>
        <w:t>“</w:t>
      </w:r>
      <w:r w:rsidR="007E282A" w:rsidRPr="007E282A">
        <w:rPr>
          <w:rFonts w:asciiTheme="minorHAnsi" w:eastAsiaTheme="minorHAnsi" w:hAnsiTheme="minorHAnsi"/>
          <w:iCs/>
        </w:rPr>
        <w:t>Percent of Males Circumcised”</w:t>
      </w:r>
      <w:r w:rsidR="00721CBC">
        <w:rPr>
          <w:rFonts w:asciiTheme="minorHAnsi" w:eastAsiaTheme="minorHAnsi" w:hAnsiTheme="minorHAnsi"/>
          <w:iCs/>
        </w:rPr>
        <w:t xml:space="preserve"> </w:t>
      </w:r>
      <w:r w:rsidR="000A7FF8" w:rsidRPr="004C6243">
        <w:t xml:space="preserve">and </w:t>
      </w:r>
      <w:r w:rsidR="007E282A" w:rsidRPr="007E282A">
        <w:rPr>
          <w:rFonts w:asciiTheme="minorHAnsi" w:eastAsiaTheme="minorHAnsi" w:hAnsiTheme="minorHAnsi" w:cs="TimesNewRomanPSMT"/>
        </w:rPr>
        <w:t>“</w:t>
      </w:r>
      <w:r w:rsidR="007E282A" w:rsidRPr="007E282A">
        <w:rPr>
          <w:rFonts w:asciiTheme="minorHAnsi" w:eastAsiaTheme="minorHAnsi" w:hAnsiTheme="minorHAnsi"/>
          <w:iCs/>
        </w:rPr>
        <w:t>HIV Seroprevalence”</w:t>
      </w:r>
      <w:r w:rsidR="007E282A">
        <w:rPr>
          <w:rFonts w:asciiTheme="minorHAnsi" w:eastAsiaTheme="minorHAnsi" w:hAnsiTheme="minorHAnsi"/>
          <w:iCs/>
        </w:rPr>
        <w:t xml:space="preserve">. </w:t>
      </w:r>
    </w:p>
    <w:p w:rsidR="009C3E14" w:rsidRDefault="006D4809" w:rsidP="0059008D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916197</wp:posOffset>
            </wp:positionH>
            <wp:positionV relativeFrom="paragraph">
              <wp:posOffset>8423</wp:posOffset>
            </wp:positionV>
            <wp:extent cx="4061244" cy="2415396"/>
            <wp:effectExtent l="19050" t="0" r="0" b="0"/>
            <wp:wrapNone/>
            <wp:docPr id="961" name="Picture 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244" cy="2415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008D" w:rsidRDefault="0059008D" w:rsidP="0059008D"/>
    <w:p w:rsidR="006D4809" w:rsidRDefault="006D4809" w:rsidP="0059008D"/>
    <w:p w:rsidR="006D4809" w:rsidRDefault="006D4809" w:rsidP="0059008D"/>
    <w:p w:rsidR="006D4809" w:rsidRDefault="006D4809" w:rsidP="0059008D"/>
    <w:p w:rsidR="006D4809" w:rsidRDefault="006D4809" w:rsidP="0059008D"/>
    <w:p w:rsidR="006D4809" w:rsidRDefault="006D4809" w:rsidP="0059008D"/>
    <w:p w:rsidR="006D4809" w:rsidRDefault="006D4809" w:rsidP="006D4809">
      <w:pPr>
        <w:jc w:val="center"/>
      </w:pPr>
    </w:p>
    <w:p w:rsidR="006D4809" w:rsidRDefault="006D4809" w:rsidP="006D4809">
      <w:pPr>
        <w:jc w:val="center"/>
      </w:pPr>
    </w:p>
    <w:p w:rsidR="00721CBC" w:rsidRPr="00721CBC" w:rsidRDefault="00721CBC" w:rsidP="0059008D">
      <w:pPr>
        <w:rPr>
          <w:b/>
        </w:rPr>
      </w:pPr>
      <w:r w:rsidRPr="00721CBC">
        <w:rPr>
          <w:b/>
        </w:rPr>
        <w:t>Descriptive Statistics</w:t>
      </w:r>
      <w:r w:rsidR="006D4809">
        <w:rPr>
          <w:b/>
        </w:rPr>
        <w:t xml:space="preserve">    </w:t>
      </w:r>
      <w:r w:rsidR="006D4809">
        <w:rPr>
          <w:b/>
        </w:rPr>
        <w:tab/>
      </w:r>
      <w:r w:rsidR="006D4809">
        <w:rPr>
          <w:b/>
        </w:rPr>
        <w:tab/>
      </w:r>
      <w:r w:rsidR="006D4809">
        <w:rPr>
          <w:b/>
        </w:rPr>
        <w:tab/>
      </w:r>
      <w:r w:rsidR="006D4809">
        <w:rPr>
          <w:b/>
        </w:rPr>
        <w:tab/>
        <w:t xml:space="preserve">    </w:t>
      </w:r>
      <w:r w:rsidR="00424807">
        <w:rPr>
          <w:rFonts w:asciiTheme="minorHAnsi" w:hAnsiTheme="minorHAnsi"/>
          <w:b/>
          <w:noProof/>
        </w:rPr>
        <w:t>Parameter Estimate Table</w:t>
      </w:r>
    </w:p>
    <w:tbl>
      <w:tblPr>
        <w:tblW w:w="0" w:type="auto"/>
        <w:tblLayout w:type="fixed"/>
        <w:tblCellMar>
          <w:left w:w="67" w:type="dxa"/>
          <w:right w:w="67" w:type="dxa"/>
        </w:tblCellMar>
        <w:tblLook w:val="0000"/>
      </w:tblPr>
      <w:tblGrid>
        <w:gridCol w:w="2205"/>
        <w:gridCol w:w="359"/>
        <w:gridCol w:w="846"/>
        <w:gridCol w:w="855"/>
      </w:tblGrid>
      <w:tr w:rsidR="009C3E14" w:rsidTr="00721CBC">
        <w:trPr>
          <w:cantSplit/>
          <w:tblHeader/>
        </w:trPr>
        <w:tc>
          <w:tcPr>
            <w:tcW w:w="2205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843F60">
            <w:pPr>
              <w:keepNext/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bookmarkStart w:id="0" w:name="IDX"/>
            <w:bookmarkEnd w:id="0"/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Variable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843F60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N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843F60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Mean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843F60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Std Dev</w:t>
            </w:r>
          </w:p>
        </w:tc>
      </w:tr>
      <w:tr w:rsidR="009C3E14" w:rsidTr="00721CBC">
        <w:trPr>
          <w:cantSplit/>
        </w:trPr>
        <w:tc>
          <w:tcPr>
            <w:tcW w:w="22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7E282A" w:rsidP="007E282A">
            <w:pPr>
              <w:keepNext/>
              <w:adjustRightInd w:val="0"/>
              <w:spacing w:before="67" w:after="67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HIV Prevalence</w:t>
            </w:r>
            <w:r w:rsidR="009C3E14">
              <w:rPr>
                <w:rFonts w:ascii="Arial" w:hAnsi="Arial" w:cs="Arial"/>
                <w:color w:val="000000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Males Circumcised (%)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9C3E14" w:rsidP="00843F60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37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br/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9C3E14" w:rsidP="00843F60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3.7216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br/>
              <w:t>75.9081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9C3E14" w:rsidP="00843F60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5.6929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br/>
              <w:t>34.0605</w:t>
            </w:r>
          </w:p>
        </w:tc>
      </w:tr>
    </w:tbl>
    <w:tbl>
      <w:tblPr>
        <w:tblpPr w:leftFromText="180" w:rightFromText="180" w:vertAnchor="text" w:horzAnchor="page" w:tblpX="6034" w:tblpY="-1044"/>
        <w:tblW w:w="0" w:type="auto"/>
        <w:tblLayout w:type="fixed"/>
        <w:tblCellMar>
          <w:left w:w="67" w:type="dxa"/>
          <w:right w:w="67" w:type="dxa"/>
        </w:tblCellMar>
        <w:tblLook w:val="0000"/>
      </w:tblPr>
      <w:tblGrid>
        <w:gridCol w:w="1710"/>
        <w:gridCol w:w="908"/>
        <w:gridCol w:w="1170"/>
        <w:gridCol w:w="748"/>
        <w:gridCol w:w="752"/>
      </w:tblGrid>
      <w:tr w:rsidR="006D4809" w:rsidTr="006D4809">
        <w:trPr>
          <w:cantSplit/>
          <w:tblHeader/>
        </w:trPr>
        <w:tc>
          <w:tcPr>
            <w:tcW w:w="1710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Parameter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Estimate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Standard Error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t Value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Pr &gt; |t|</w:t>
            </w:r>
          </w:p>
        </w:tc>
      </w:tr>
      <w:tr w:rsidR="006D4809" w:rsidTr="006D4809">
        <w:trPr>
          <w:cantSplit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Intercept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15.143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1.0214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14.82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&lt;.0001</w:t>
            </w:r>
          </w:p>
        </w:tc>
      </w:tr>
      <w:tr w:rsidR="006D4809" w:rsidTr="006D4809">
        <w:trPr>
          <w:cantSplit/>
        </w:trPr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MalesCircumcised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-0.151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0.0123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-12.23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&lt;.0001</w:t>
            </w:r>
          </w:p>
        </w:tc>
      </w:tr>
    </w:tbl>
    <w:p w:rsidR="006D4809" w:rsidRDefault="006D4809" w:rsidP="0059008D">
      <w:pPr>
        <w:rPr>
          <w:rFonts w:asciiTheme="minorHAnsi" w:hAnsiTheme="minorHAnsi"/>
          <w:b/>
          <w:noProof/>
        </w:rPr>
      </w:pPr>
    </w:p>
    <w:p w:rsidR="006D4809" w:rsidRDefault="006D4809" w:rsidP="0059008D">
      <w:pPr>
        <w:rPr>
          <w:rFonts w:asciiTheme="minorHAnsi" w:hAnsiTheme="minorHAnsi"/>
          <w:b/>
          <w:noProof/>
        </w:rPr>
      </w:pPr>
    </w:p>
    <w:p w:rsidR="0059008D" w:rsidRPr="00721CBC" w:rsidRDefault="009C3E14" w:rsidP="0059008D">
      <w:pPr>
        <w:rPr>
          <w:rFonts w:asciiTheme="minorHAnsi" w:hAnsiTheme="minorHAnsi"/>
          <w:b/>
          <w:noProof/>
        </w:rPr>
      </w:pPr>
      <w:r w:rsidRPr="00721CBC">
        <w:rPr>
          <w:rFonts w:asciiTheme="minorHAnsi" w:hAnsiTheme="minorHAnsi"/>
          <w:b/>
          <w:noProof/>
        </w:rPr>
        <w:t>Model Summary</w:t>
      </w:r>
      <w:r w:rsidR="006D4809">
        <w:rPr>
          <w:rFonts w:asciiTheme="minorHAnsi" w:hAnsiTheme="minorHAnsi"/>
          <w:b/>
          <w:noProof/>
        </w:rPr>
        <w:tab/>
      </w:r>
      <w:r w:rsidR="006D4809">
        <w:rPr>
          <w:rFonts w:asciiTheme="minorHAnsi" w:hAnsiTheme="minorHAnsi"/>
          <w:b/>
          <w:noProof/>
        </w:rPr>
        <w:tab/>
      </w:r>
      <w:r w:rsidR="006D4809">
        <w:rPr>
          <w:rFonts w:asciiTheme="minorHAnsi" w:hAnsiTheme="minorHAnsi"/>
          <w:b/>
          <w:noProof/>
        </w:rPr>
        <w:tab/>
      </w:r>
      <w:r w:rsidR="006D4809">
        <w:rPr>
          <w:rFonts w:asciiTheme="minorHAnsi" w:hAnsiTheme="minorHAnsi"/>
          <w:b/>
          <w:noProof/>
        </w:rPr>
        <w:tab/>
        <w:t xml:space="preserve">  </w:t>
      </w:r>
      <w:r w:rsidR="00424807">
        <w:rPr>
          <w:rFonts w:asciiTheme="minorHAnsi" w:hAnsiTheme="minorHAnsi"/>
          <w:b/>
          <w:noProof/>
        </w:rPr>
        <w:t>ANOVA</w:t>
      </w:r>
      <w:r w:rsidR="006D4809">
        <w:rPr>
          <w:rFonts w:asciiTheme="minorHAnsi" w:hAnsiTheme="minorHAnsi"/>
          <w:b/>
          <w:noProof/>
        </w:rPr>
        <w:tab/>
      </w:r>
      <w:r w:rsidR="006D4809">
        <w:rPr>
          <w:rFonts w:asciiTheme="minorHAnsi" w:hAnsiTheme="minorHAnsi"/>
          <w:b/>
          <w:noProof/>
        </w:rPr>
        <w:tab/>
      </w:r>
      <w:r w:rsidR="006D4809">
        <w:rPr>
          <w:rFonts w:asciiTheme="minorHAnsi" w:hAnsiTheme="minorHAnsi"/>
          <w:b/>
          <w:noProof/>
        </w:rPr>
        <w:tab/>
      </w:r>
      <w:r w:rsidR="006D4809">
        <w:rPr>
          <w:rFonts w:asciiTheme="minorHAnsi" w:hAnsiTheme="minorHAnsi"/>
          <w:b/>
          <w:noProof/>
        </w:rPr>
        <w:tab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67" w:type="dxa"/>
          <w:right w:w="67" w:type="dxa"/>
        </w:tblCellMar>
        <w:tblLook w:val="0000"/>
      </w:tblPr>
      <w:tblGrid>
        <w:gridCol w:w="973"/>
        <w:gridCol w:w="963"/>
        <w:gridCol w:w="1027"/>
        <w:gridCol w:w="1069"/>
      </w:tblGrid>
      <w:tr w:rsidR="009C3E14" w:rsidTr="006D4809">
        <w:trPr>
          <w:cantSplit/>
          <w:tblHeader/>
        </w:trPr>
        <w:tc>
          <w:tcPr>
            <w:tcW w:w="973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R-Square</w:t>
            </w:r>
          </w:p>
        </w:tc>
        <w:tc>
          <w:tcPr>
            <w:tcW w:w="963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Coeff Var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Root MSE</w:t>
            </w: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prev Mean</w:t>
            </w:r>
          </w:p>
        </w:tc>
      </w:tr>
      <w:tr w:rsidR="009C3E14" w:rsidTr="006D4809">
        <w:trPr>
          <w:cantSplit/>
        </w:trPr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0.8103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67.5682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2.5146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C3E14" w:rsidRDefault="009C3E14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3.7216</w:t>
            </w:r>
          </w:p>
        </w:tc>
      </w:tr>
    </w:tbl>
    <w:tbl>
      <w:tblPr>
        <w:tblpPr w:leftFromText="180" w:rightFromText="180" w:vertAnchor="text" w:horzAnchor="page" w:tblpX="5789" w:tblpY="6"/>
        <w:tblW w:w="0" w:type="auto"/>
        <w:tblLayout w:type="fixed"/>
        <w:tblCellMar>
          <w:left w:w="67" w:type="dxa"/>
          <w:right w:w="67" w:type="dxa"/>
        </w:tblCellMar>
        <w:tblLook w:val="0000"/>
      </w:tblPr>
      <w:tblGrid>
        <w:gridCol w:w="1480"/>
        <w:gridCol w:w="401"/>
        <w:gridCol w:w="1278"/>
        <w:gridCol w:w="1309"/>
        <w:gridCol w:w="812"/>
        <w:gridCol w:w="752"/>
      </w:tblGrid>
      <w:tr w:rsidR="006D4809" w:rsidTr="006D4809">
        <w:trPr>
          <w:cantSplit/>
          <w:tblHeader/>
        </w:trPr>
        <w:tc>
          <w:tcPr>
            <w:tcW w:w="1480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Source</w:t>
            </w: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DF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Sum of Squares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Mean Square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F Value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3" w:space="0" w:color="000000"/>
              <w:right w:val="nil"/>
            </w:tcBorders>
            <w:shd w:val="clear" w:color="auto" w:fill="FFFFFF"/>
            <w:vAlign w:val="bottom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Pr &gt; F</w:t>
            </w:r>
          </w:p>
        </w:tc>
      </w:tr>
      <w:tr w:rsidR="006D4809" w:rsidTr="006D4809">
        <w:trPr>
          <w:cantSplit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Model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945.424337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945.424337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149.51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&lt;.0001</w:t>
            </w:r>
          </w:p>
        </w:tc>
      </w:tr>
      <w:tr w:rsidR="006D4809" w:rsidTr="006D4809">
        <w:trPr>
          <w:cantSplit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Error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221.318365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6.323382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4809" w:rsidRDefault="006D4809" w:rsidP="006D4809">
            <w:pPr>
              <w:keepNext/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D4809" w:rsidTr="006D4809">
        <w:trPr>
          <w:cantSplit/>
        </w:trPr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adjustRightInd w:val="0"/>
              <w:spacing w:before="67" w:after="67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Total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1166.742703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D4809" w:rsidRDefault="006D4809" w:rsidP="006D4809">
            <w:pPr>
              <w:adjustRightInd w:val="0"/>
              <w:spacing w:before="67" w:after="67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:rsidR="0059008D" w:rsidRDefault="0059008D" w:rsidP="0059008D"/>
    <w:p w:rsidR="009C3E14" w:rsidRDefault="009C3E14" w:rsidP="0059008D">
      <w:pPr>
        <w:rPr>
          <w:b/>
        </w:rPr>
      </w:pPr>
    </w:p>
    <w:p w:rsidR="006D4809" w:rsidRDefault="006D4809" w:rsidP="0059008D">
      <w:pPr>
        <w:rPr>
          <w:noProof/>
        </w:rPr>
      </w:pPr>
    </w:p>
    <w:p w:rsidR="006D4809" w:rsidRDefault="000F410A" w:rsidP="0059008D">
      <w:pPr>
        <w:rPr>
          <w:noProof/>
        </w:rPr>
      </w:pPr>
      <w:r>
        <w:rPr>
          <w:noProof/>
        </w:rPr>
        <w:t>1. What is the equation of the least squares regression line?</w:t>
      </w:r>
    </w:p>
    <w:p w:rsidR="006D4809" w:rsidRDefault="006D4809" w:rsidP="0059008D">
      <w:pPr>
        <w:rPr>
          <w:noProof/>
        </w:rPr>
      </w:pPr>
    </w:p>
    <w:p w:rsidR="006D4809" w:rsidRDefault="006D4809" w:rsidP="0059008D">
      <w:pPr>
        <w:rPr>
          <w:noProof/>
        </w:rPr>
      </w:pPr>
    </w:p>
    <w:p w:rsidR="006D4809" w:rsidRDefault="000F410A" w:rsidP="0059008D">
      <w:pPr>
        <w:rPr>
          <w:noProof/>
        </w:rPr>
      </w:pPr>
      <w:r>
        <w:rPr>
          <w:noProof/>
        </w:rPr>
        <w:t xml:space="preserve">2. What is the value of the correlation between </w:t>
      </w:r>
      <w:r w:rsidR="00721CBC">
        <w:rPr>
          <w:noProof/>
        </w:rPr>
        <w:t>“Males Circumcised”</w:t>
      </w:r>
      <w:r>
        <w:rPr>
          <w:noProof/>
        </w:rPr>
        <w:t xml:space="preserve"> and </w:t>
      </w:r>
      <w:r w:rsidR="00721CBC">
        <w:rPr>
          <w:noProof/>
        </w:rPr>
        <w:t>“HIV Prevalence”</w:t>
      </w:r>
      <w:r>
        <w:rPr>
          <w:noProof/>
        </w:rPr>
        <w:t>?</w:t>
      </w:r>
    </w:p>
    <w:p w:rsidR="006D4809" w:rsidRDefault="005165A6" w:rsidP="005165A6">
      <w:pPr>
        <w:tabs>
          <w:tab w:val="left" w:pos="5570"/>
        </w:tabs>
        <w:rPr>
          <w:noProof/>
        </w:rPr>
      </w:pPr>
      <w:r>
        <w:rPr>
          <w:noProof/>
        </w:rPr>
        <w:tab/>
      </w:r>
    </w:p>
    <w:p w:rsidR="005165A6" w:rsidRDefault="005165A6" w:rsidP="005165A6">
      <w:pPr>
        <w:tabs>
          <w:tab w:val="left" w:pos="5570"/>
        </w:tabs>
        <w:rPr>
          <w:noProof/>
        </w:rPr>
      </w:pPr>
    </w:p>
    <w:p w:rsidR="006D4809" w:rsidRDefault="000F410A" w:rsidP="0059008D">
      <w:pPr>
        <w:rPr>
          <w:noProof/>
        </w:rPr>
      </w:pPr>
      <w:r>
        <w:rPr>
          <w:noProof/>
        </w:rPr>
        <w:t xml:space="preserve">3. Let </w:t>
      </w:r>
      <w:r w:rsidR="00721CBC" w:rsidRPr="002819CB">
        <w:rPr>
          <w:rFonts w:ascii="Symbol" w:hAnsi="Symbol"/>
          <w:b/>
          <w:i/>
          <w:noProof/>
          <w:sz w:val="24"/>
          <w:szCs w:val="24"/>
        </w:rPr>
        <w:t></w:t>
      </w:r>
      <w:r w:rsidR="00721CBC">
        <w:rPr>
          <w:noProof/>
        </w:rPr>
        <w:t xml:space="preserve"> </w:t>
      </w:r>
      <w:r w:rsidR="00735AD6">
        <w:rPr>
          <w:noProof/>
        </w:rPr>
        <w:t xml:space="preserve"> </w:t>
      </w:r>
      <w:r>
        <w:rPr>
          <w:noProof/>
        </w:rPr>
        <w:t xml:space="preserve">be the population correlation between </w:t>
      </w:r>
      <w:r w:rsidR="00721CBC">
        <w:rPr>
          <w:noProof/>
        </w:rPr>
        <w:t>“Males Circumcised” and “HIV Prevalence”</w:t>
      </w:r>
      <w:r>
        <w:rPr>
          <w:noProof/>
        </w:rPr>
        <w:t xml:space="preserve">. What is the </w:t>
      </w:r>
      <w:r w:rsidR="006D4809">
        <w:rPr>
          <w:noProof/>
        </w:rPr>
        <w:t xml:space="preserve"> </w:t>
      </w:r>
      <w:r>
        <w:rPr>
          <w:noProof/>
        </w:rPr>
        <w:t xml:space="preserve">value of the </w:t>
      </w:r>
      <w:r w:rsidRPr="00721CBC">
        <w:rPr>
          <w:i/>
          <w:noProof/>
        </w:rPr>
        <w:t>t</w:t>
      </w:r>
      <w:r>
        <w:rPr>
          <w:noProof/>
        </w:rPr>
        <w:t xml:space="preserve"> statistic for testing the hypotheses H</w:t>
      </w:r>
      <w:r w:rsidRPr="00721CBC">
        <w:rPr>
          <w:noProof/>
          <w:vertAlign w:val="subscript"/>
        </w:rPr>
        <w:t>0</w:t>
      </w:r>
      <w:r>
        <w:rPr>
          <w:noProof/>
        </w:rPr>
        <w:t xml:space="preserve">: </w:t>
      </w:r>
      <w:r w:rsidR="00721CBC" w:rsidRPr="002819CB">
        <w:rPr>
          <w:rFonts w:ascii="Symbol" w:hAnsi="Symbol"/>
          <w:b/>
          <w:i/>
          <w:noProof/>
          <w:sz w:val="24"/>
          <w:szCs w:val="24"/>
        </w:rPr>
        <w:t></w:t>
      </w:r>
      <w:r w:rsidR="00721CBC">
        <w:rPr>
          <w:noProof/>
        </w:rPr>
        <w:t xml:space="preserve"> </w:t>
      </w:r>
      <w:r>
        <w:rPr>
          <w:noProof/>
        </w:rPr>
        <w:t>=</w:t>
      </w:r>
      <w:r w:rsidR="00721CBC">
        <w:rPr>
          <w:noProof/>
        </w:rPr>
        <w:t xml:space="preserve"> </w:t>
      </w:r>
      <w:r>
        <w:rPr>
          <w:noProof/>
        </w:rPr>
        <w:t>0 versus H</w:t>
      </w:r>
      <w:r w:rsidRPr="00721CBC">
        <w:rPr>
          <w:noProof/>
          <w:vertAlign w:val="subscript"/>
        </w:rPr>
        <w:t>a</w:t>
      </w:r>
      <w:r>
        <w:rPr>
          <w:noProof/>
        </w:rPr>
        <w:t xml:space="preserve">: </w:t>
      </w:r>
      <w:r w:rsidR="00721CBC" w:rsidRPr="002819CB">
        <w:rPr>
          <w:rFonts w:ascii="Symbol" w:hAnsi="Symbol"/>
          <w:b/>
          <w:i/>
          <w:noProof/>
          <w:sz w:val="24"/>
          <w:szCs w:val="24"/>
        </w:rPr>
        <w:t></w:t>
      </w:r>
      <w:r w:rsidR="00721CBC">
        <w:rPr>
          <w:noProof/>
        </w:rPr>
        <w:t xml:space="preserve"> </w:t>
      </w:r>
      <w:r w:rsidR="00721CBC">
        <w:rPr>
          <w:rFonts w:ascii="Arial" w:hAnsi="Arial" w:cs="Arial"/>
          <w:noProof/>
        </w:rPr>
        <w:t>≠</w:t>
      </w:r>
      <w:r w:rsidR="00721CBC">
        <w:rPr>
          <w:noProof/>
        </w:rPr>
        <w:t xml:space="preserve"> </w:t>
      </w:r>
      <w:r>
        <w:rPr>
          <w:noProof/>
        </w:rPr>
        <w:t>0?</w:t>
      </w:r>
    </w:p>
    <w:p w:rsidR="005165A6" w:rsidRDefault="005165A6" w:rsidP="0059008D">
      <w:pPr>
        <w:rPr>
          <w:noProof/>
        </w:rPr>
      </w:pPr>
    </w:p>
    <w:p w:rsidR="006D4809" w:rsidRDefault="006D4809" w:rsidP="0059008D">
      <w:pPr>
        <w:rPr>
          <w:noProof/>
        </w:rPr>
      </w:pPr>
    </w:p>
    <w:p w:rsidR="000F410A" w:rsidRDefault="000F410A" w:rsidP="0059008D">
      <w:pPr>
        <w:rPr>
          <w:noProof/>
        </w:rPr>
      </w:pPr>
      <w:r>
        <w:rPr>
          <w:noProof/>
        </w:rPr>
        <w:t xml:space="preserve">4. Is the slope significantly different from zero? Include the value of the test statistic and the corresponding </w:t>
      </w:r>
      <w:r w:rsidRPr="00721CBC">
        <w:rPr>
          <w:i/>
          <w:noProof/>
        </w:rPr>
        <w:t>p</w:t>
      </w:r>
      <w:r>
        <w:rPr>
          <w:noProof/>
        </w:rPr>
        <w:t>-value in your answer, along with a conclusion in language the investigator can understand.</w:t>
      </w:r>
    </w:p>
    <w:p w:rsidR="005165A6" w:rsidRDefault="005165A6" w:rsidP="0059008D">
      <w:pPr>
        <w:rPr>
          <w:noProof/>
        </w:rPr>
      </w:pPr>
    </w:p>
    <w:p w:rsidR="005165A6" w:rsidRDefault="005165A6" w:rsidP="0059008D">
      <w:pPr>
        <w:rPr>
          <w:noProof/>
        </w:rPr>
      </w:pPr>
    </w:p>
    <w:p w:rsidR="005165A6" w:rsidRDefault="005165A6" w:rsidP="0059008D">
      <w:pPr>
        <w:rPr>
          <w:noProof/>
        </w:rPr>
      </w:pPr>
    </w:p>
    <w:p w:rsidR="005165A6" w:rsidRDefault="005165A6" w:rsidP="0059008D">
      <w:pPr>
        <w:rPr>
          <w:noProof/>
        </w:rPr>
      </w:pPr>
    </w:p>
    <w:p w:rsidR="005165A6" w:rsidRDefault="005165A6" w:rsidP="0059008D">
      <w:pPr>
        <w:rPr>
          <w:noProof/>
        </w:rPr>
      </w:pPr>
    </w:p>
    <w:p w:rsidR="0059008D" w:rsidRDefault="000F410A" w:rsidP="0059008D">
      <w:r>
        <w:t xml:space="preserve">5. What is the value of the estimate for </w:t>
      </w:r>
      <w:r w:rsidR="00735AD6" w:rsidRPr="00735AD6">
        <w:rPr>
          <w:rFonts w:ascii="Symbol" w:hAnsi="Symbol"/>
          <w:b/>
          <w:i/>
        </w:rPr>
        <w:t></w:t>
      </w:r>
      <w:r>
        <w:t xml:space="preserve">, the standard deviation of the </w:t>
      </w:r>
      <w:r w:rsidR="002819CB">
        <w:t xml:space="preserve">random </w:t>
      </w:r>
      <w:r>
        <w:t xml:space="preserve">deviations </w:t>
      </w:r>
      <w:r w:rsidR="00735AD6" w:rsidRPr="00735AD6">
        <w:rPr>
          <w:rFonts w:ascii="Symbol" w:hAnsi="Symbol"/>
          <w:b/>
          <w:i/>
        </w:rPr>
        <w:t></w:t>
      </w:r>
      <w:r w:rsidR="00735AD6" w:rsidRPr="00735AD6">
        <w:rPr>
          <w:rFonts w:asciiTheme="minorHAnsi" w:hAnsiTheme="minorHAnsi"/>
          <w:b/>
          <w:i/>
          <w:vertAlign w:val="subscript"/>
        </w:rPr>
        <w:t>i</w:t>
      </w:r>
      <w:r>
        <w:t>?</w:t>
      </w:r>
    </w:p>
    <w:p w:rsidR="005165A6" w:rsidRDefault="005165A6" w:rsidP="0059008D"/>
    <w:p w:rsidR="005165A6" w:rsidRDefault="005165A6" w:rsidP="0059008D"/>
    <w:p w:rsidR="0059008D" w:rsidRDefault="000F410A" w:rsidP="00E214E4">
      <w:pPr>
        <w:tabs>
          <w:tab w:val="left" w:pos="7105"/>
        </w:tabs>
        <w:rPr>
          <w:rFonts w:asciiTheme="minorHAnsi" w:hAnsiTheme="minorHAnsi"/>
        </w:rPr>
      </w:pPr>
      <w:r>
        <w:t xml:space="preserve">6. </w:t>
      </w:r>
      <w:r w:rsidR="002819CB">
        <w:t xml:space="preserve">Give a 95% confidence interval for the population slope parameter </w:t>
      </w:r>
      <w:r w:rsidR="002819CB">
        <w:rPr>
          <w:rFonts w:ascii="Symbol" w:hAnsi="Symbol"/>
          <w:b/>
          <w:i/>
        </w:rPr>
        <w:t></w:t>
      </w:r>
      <w:r w:rsidR="002819CB" w:rsidRPr="002819CB">
        <w:rPr>
          <w:rFonts w:asciiTheme="minorHAnsi" w:hAnsiTheme="minorHAnsi"/>
        </w:rPr>
        <w:t>.</w:t>
      </w:r>
      <w:r w:rsidR="00E214E4">
        <w:rPr>
          <w:rFonts w:asciiTheme="minorHAnsi" w:hAnsiTheme="minorHAnsi"/>
        </w:rPr>
        <w:tab/>
      </w:r>
    </w:p>
    <w:p w:rsidR="00E214E4" w:rsidRDefault="00E214E4" w:rsidP="00E214E4">
      <w:pPr>
        <w:tabs>
          <w:tab w:val="left" w:pos="7105"/>
        </w:tabs>
        <w:rPr>
          <w:rFonts w:asciiTheme="minorHAnsi" w:hAnsiTheme="minorHAnsi"/>
        </w:rPr>
      </w:pPr>
    </w:p>
    <w:p w:rsidR="00E214E4" w:rsidRDefault="00E214E4" w:rsidP="00E214E4">
      <w:pPr>
        <w:tabs>
          <w:tab w:val="left" w:pos="7105"/>
        </w:tabs>
        <w:rPr>
          <w:rFonts w:asciiTheme="minorHAnsi" w:hAnsiTheme="minorHAnsi"/>
        </w:rPr>
      </w:pPr>
    </w:p>
    <w:p w:rsidR="00E214E4" w:rsidRDefault="00E214E4" w:rsidP="00E214E4">
      <w:pPr>
        <w:tabs>
          <w:tab w:val="left" w:pos="7105"/>
        </w:tabs>
        <w:rPr>
          <w:rFonts w:asciiTheme="minorHAnsi" w:hAnsiTheme="minorHAnsi"/>
        </w:rPr>
      </w:pPr>
    </w:p>
    <w:p w:rsidR="00E214E4" w:rsidRDefault="00E214E4" w:rsidP="00E214E4">
      <w:pPr>
        <w:tabs>
          <w:tab w:val="left" w:pos="7105"/>
        </w:tabs>
        <w:rPr>
          <w:rFonts w:asciiTheme="minorHAnsi" w:hAnsiTheme="minorHAnsi"/>
        </w:rPr>
      </w:pPr>
    </w:p>
    <w:p w:rsidR="00E214E4" w:rsidRDefault="00E214E4" w:rsidP="00E214E4">
      <w:pPr>
        <w:tabs>
          <w:tab w:val="left" w:pos="7105"/>
        </w:tabs>
        <w:rPr>
          <w:rFonts w:asciiTheme="minorHAnsi" w:hAnsiTheme="minorHAnsi"/>
        </w:rPr>
      </w:pPr>
    </w:p>
    <w:p w:rsidR="00E214E4" w:rsidRDefault="00E214E4" w:rsidP="00E214E4">
      <w:pPr>
        <w:tabs>
          <w:tab w:val="left" w:pos="7105"/>
        </w:tabs>
      </w:pPr>
      <w:r>
        <w:rPr>
          <w:rFonts w:asciiTheme="minorHAnsi" w:hAnsiTheme="minorHAnsi"/>
        </w:rPr>
        <w:lastRenderedPageBreak/>
        <w:t xml:space="preserve">7. </w:t>
      </w:r>
      <w:r w:rsidRPr="00E94EC5">
        <w:t xml:space="preserve">Find the predicted </w:t>
      </w:r>
      <w:r w:rsidRPr="00E214E4">
        <w:t>“HIV Seroprevalence</w:t>
      </w:r>
      <w:r>
        <w:t xml:space="preserve"> (%)</w:t>
      </w:r>
      <w:r w:rsidRPr="00E214E4">
        <w:t>”</w:t>
      </w:r>
      <w:r w:rsidRPr="00E94EC5">
        <w:t xml:space="preserve"> when the </w:t>
      </w:r>
      <w:r>
        <w:t>“</w:t>
      </w:r>
      <w:r w:rsidRPr="00E214E4">
        <w:t>Percent of Circumcised Males”</w:t>
      </w:r>
      <w:r w:rsidRPr="00E94EC5">
        <w:t xml:space="preserve"> is 7</w:t>
      </w:r>
      <w:r>
        <w:t>0</w:t>
      </w:r>
      <w:r w:rsidRPr="00E94EC5">
        <w:t>%.</w:t>
      </w:r>
    </w:p>
    <w:p w:rsidR="00E214E4" w:rsidRDefault="00E214E4" w:rsidP="00E214E4">
      <w:pPr>
        <w:tabs>
          <w:tab w:val="left" w:pos="7105"/>
        </w:tabs>
      </w:pPr>
    </w:p>
    <w:p w:rsidR="00E214E4" w:rsidRDefault="00E214E4" w:rsidP="00E214E4">
      <w:pPr>
        <w:tabs>
          <w:tab w:val="left" w:pos="7105"/>
        </w:tabs>
      </w:pPr>
    </w:p>
    <w:p w:rsidR="00E214E4" w:rsidRPr="002819CB" w:rsidRDefault="00E214E4" w:rsidP="00E214E4">
      <w:pPr>
        <w:tabs>
          <w:tab w:val="left" w:pos="7105"/>
        </w:tabs>
      </w:pPr>
      <w:r>
        <w:t xml:space="preserve">8. </w:t>
      </w:r>
      <w:r w:rsidRPr="00E94EC5">
        <w:t xml:space="preserve">Find the </w:t>
      </w:r>
      <w:r>
        <w:t>“</w:t>
      </w:r>
      <w:r w:rsidRPr="00E214E4">
        <w:t>Percent of Circumcised Males”</w:t>
      </w:r>
      <w:r w:rsidRPr="00E94EC5">
        <w:t xml:space="preserve"> predicted by the regression line when the </w:t>
      </w:r>
      <w:r>
        <w:t>“</w:t>
      </w:r>
      <w:r w:rsidRPr="00E214E4">
        <w:t>HIV Seroprevalence (%)”</w:t>
      </w:r>
      <w:r>
        <w:t xml:space="preserve"> is 10</w:t>
      </w:r>
      <w:r w:rsidRPr="00E94EC5">
        <w:t>%.</w:t>
      </w:r>
    </w:p>
    <w:p w:rsidR="0059008D" w:rsidRDefault="0059008D" w:rsidP="0059008D"/>
    <w:p w:rsidR="0059008D" w:rsidRPr="00BC1A3E" w:rsidRDefault="0059008D" w:rsidP="0059008D"/>
    <w:p w:rsidR="009B420E" w:rsidRDefault="009B420E" w:rsidP="0059008D"/>
    <w:p w:rsidR="0059008D" w:rsidRDefault="0059008D" w:rsidP="0059008D">
      <w:r w:rsidRPr="00B35393">
        <w:t>The residual</w:t>
      </w:r>
      <w:r>
        <w:t>s from</w:t>
      </w:r>
      <w:r w:rsidRPr="00B35393">
        <w:t xml:space="preserve"> this regression analysis </w:t>
      </w:r>
      <w:r>
        <w:t xml:space="preserve">are plotted versus the explanatory variable. The graph </w:t>
      </w:r>
      <w:r w:rsidRPr="00B35393">
        <w:t xml:space="preserve">is provided </w:t>
      </w:r>
      <w:r w:rsidR="00852DC7">
        <w:t>here.</w:t>
      </w:r>
    </w:p>
    <w:p w:rsidR="0059008D" w:rsidRPr="00B35393" w:rsidRDefault="00852DC7" w:rsidP="00EB369E">
      <w:pPr>
        <w:tabs>
          <w:tab w:val="left" w:pos="1250"/>
        </w:tabs>
      </w:pPr>
      <w:r>
        <w:tab/>
      </w:r>
      <w:r w:rsidR="005F257D" w:rsidRPr="005F257D">
        <w:rPr>
          <w:noProof/>
        </w:rPr>
        <w:drawing>
          <wp:inline distT="0" distB="0" distL="0" distR="0">
            <wp:extent cx="4486275" cy="2228850"/>
            <wp:effectExtent l="19050" t="0" r="9525" b="0"/>
            <wp:docPr id="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9008D" w:rsidRDefault="0059008D" w:rsidP="0059008D"/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20"/>
        <w:gridCol w:w="8640"/>
      </w:tblGrid>
      <w:tr w:rsidR="0059008D" w:rsidTr="00843F60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pPr>
              <w:keepNext/>
              <w:keepLines/>
            </w:pPr>
            <w:r>
              <w:rPr>
                <w:color w:val="000000"/>
              </w:rPr>
              <w:t>7.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pPr>
              <w:keepNext/>
              <w:keepLines/>
            </w:pPr>
            <w:r w:rsidRPr="003D73EB">
              <w:t>Which of the following interpretatio</w:t>
            </w:r>
            <w:r>
              <w:t xml:space="preserve">ns of this </w:t>
            </w:r>
            <w:r w:rsidRPr="00B35393">
              <w:t>residual plot</w:t>
            </w:r>
            <w:r>
              <w:t xml:space="preserve"> is</w:t>
            </w:r>
            <w:r w:rsidRPr="003D73EB">
              <w:t xml:space="preserve"> correct?</w:t>
            </w:r>
            <w:r>
              <w:t xml:space="preserve"> </w:t>
            </w:r>
          </w:p>
        </w:tc>
      </w:tr>
      <w:tr w:rsidR="0059008D" w:rsidTr="00843F60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pPr>
              <w:keepNext/>
              <w:keepLines/>
            </w:pPr>
            <w:r>
              <w:rPr>
                <w:color w:val="000000"/>
              </w:rPr>
              <w:t>A)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pPr>
              <w:keepNext/>
              <w:keepLines/>
              <w:tabs>
                <w:tab w:val="left" w:pos="6435"/>
              </w:tabs>
            </w:pPr>
            <w:r w:rsidRPr="00B35393">
              <w:t>The fit is not good</w:t>
            </w:r>
            <w:r>
              <w:t>,</w:t>
            </w:r>
            <w:r w:rsidRPr="00B35393">
              <w:t xml:space="preserve"> because there is no linear relationship shown in this plot.</w:t>
            </w:r>
          </w:p>
        </w:tc>
      </w:tr>
      <w:tr w:rsidR="0059008D" w:rsidTr="00843F60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pPr>
              <w:keepNext/>
              <w:keepLines/>
            </w:pPr>
            <w:r>
              <w:rPr>
                <w:color w:val="000000"/>
              </w:rPr>
              <w:t>B)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r w:rsidRPr="00B35393">
              <w:t>The fit is good</w:t>
            </w:r>
            <w:r>
              <w:t>,</w:t>
            </w:r>
            <w:r w:rsidRPr="00B35393">
              <w:t xml:space="preserve"> because the residuals form a pattern around the </w:t>
            </w:r>
            <w:r w:rsidRPr="00B35393">
              <w:rPr>
                <w:i/>
              </w:rPr>
              <w:t>x</w:t>
            </w:r>
            <w:r w:rsidRPr="00B35393">
              <w:t>-axis.</w:t>
            </w:r>
          </w:p>
        </w:tc>
      </w:tr>
      <w:tr w:rsidR="0059008D" w:rsidTr="00843F60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pPr>
              <w:keepNext/>
              <w:keepLines/>
            </w:pPr>
            <w:r>
              <w:rPr>
                <w:color w:val="000000"/>
              </w:rPr>
              <w:t>C)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r w:rsidRPr="00B35393">
              <w:t>The fit is good</w:t>
            </w:r>
            <w:r>
              <w:t>,</w:t>
            </w:r>
            <w:r w:rsidRPr="00B35393">
              <w:t xml:space="preserve"> because the residuals indicate a departure from the linear regression line. </w:t>
            </w:r>
          </w:p>
        </w:tc>
      </w:tr>
      <w:tr w:rsidR="0059008D" w:rsidTr="00843F60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pPr>
              <w:keepNext/>
              <w:keepLines/>
            </w:pPr>
            <w:r>
              <w:rPr>
                <w:color w:val="000000"/>
              </w:rPr>
              <w:t>D)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59008D" w:rsidRDefault="0059008D" w:rsidP="00843F60">
            <w:r w:rsidRPr="00B35393">
              <w:t>The fit is good</w:t>
            </w:r>
            <w:r>
              <w:t>,</w:t>
            </w:r>
            <w:r w:rsidRPr="00B35393">
              <w:t xml:space="preserve"> because </w:t>
            </w:r>
            <w:r>
              <w:t>no clear pattern is evident</w:t>
            </w:r>
            <w:r w:rsidRPr="00B35393">
              <w:t>.</w:t>
            </w:r>
          </w:p>
        </w:tc>
      </w:tr>
    </w:tbl>
    <w:p w:rsidR="0059008D" w:rsidRDefault="0059008D" w:rsidP="0059008D"/>
    <w:p w:rsidR="0059008D" w:rsidRDefault="0059008D"/>
    <w:sectPr w:rsidR="0059008D" w:rsidSect="006D4809">
      <w:pgSz w:w="12240" w:h="15840"/>
      <w:pgMar w:top="126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59008D"/>
    <w:rsid w:val="000A6532"/>
    <w:rsid w:val="000A7FF8"/>
    <w:rsid w:val="000F410A"/>
    <w:rsid w:val="002819CB"/>
    <w:rsid w:val="00304B21"/>
    <w:rsid w:val="00424807"/>
    <w:rsid w:val="004815B7"/>
    <w:rsid w:val="005165A6"/>
    <w:rsid w:val="0059008D"/>
    <w:rsid w:val="00595426"/>
    <w:rsid w:val="005F257D"/>
    <w:rsid w:val="00653F04"/>
    <w:rsid w:val="006D4809"/>
    <w:rsid w:val="00721CBC"/>
    <w:rsid w:val="00735AD6"/>
    <w:rsid w:val="007E282A"/>
    <w:rsid w:val="00852DC7"/>
    <w:rsid w:val="009B420E"/>
    <w:rsid w:val="009C3E14"/>
    <w:rsid w:val="00AA4547"/>
    <w:rsid w:val="00D01DE5"/>
    <w:rsid w:val="00E214E4"/>
    <w:rsid w:val="00EB369E"/>
    <w:rsid w:val="00EF2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08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0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andon%20and%20Emma\Documents\Coursework\Fall10\BIOS600\Global%20Content\GA_One_Bongaarts_ANSWER_Final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/>
              <a:t>Residual Plot For Regression Analysis: Male Circumcision and HIV Prevalence</a:t>
            </a:r>
          </a:p>
        </c:rich>
      </c:tx>
      <c:layout>
        <c:manualLayout>
          <c:xMode val="edge"/>
          <c:yMode val="edge"/>
          <c:x val="0.12526565250475322"/>
          <c:y val="4.7008743192204147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6985173220983488"/>
          <c:y val="0.28632598126160846"/>
          <c:w val="0.76433279494425577"/>
          <c:h val="0.57692548463159865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Sheet1!$B$4:$B$40</c:f>
              <c:numCache>
                <c:formatCode>General</c:formatCode>
                <c:ptCount val="3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87</c:v>
                </c:pt>
                <c:pt idx="5">
                  <c:v>96</c:v>
                </c:pt>
                <c:pt idx="6">
                  <c:v>70</c:v>
                </c:pt>
                <c:pt idx="7">
                  <c:v>43</c:v>
                </c:pt>
                <c:pt idx="8">
                  <c:v>100</c:v>
                </c:pt>
                <c:pt idx="9">
                  <c:v>37</c:v>
                </c:pt>
                <c:pt idx="10">
                  <c:v>100</c:v>
                </c:pt>
                <c:pt idx="11">
                  <c:v>50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99</c:v>
                </c:pt>
                <c:pt idx="16">
                  <c:v>99</c:v>
                </c:pt>
                <c:pt idx="17">
                  <c:v>0</c:v>
                </c:pt>
                <c:pt idx="18">
                  <c:v>100</c:v>
                </c:pt>
                <c:pt idx="19">
                  <c:v>95</c:v>
                </c:pt>
                <c:pt idx="20">
                  <c:v>85</c:v>
                </c:pt>
                <c:pt idx="21">
                  <c:v>4.5999999999999996</c:v>
                </c:pt>
                <c:pt idx="22">
                  <c:v>93</c:v>
                </c:pt>
                <c:pt idx="23">
                  <c:v>0</c:v>
                </c:pt>
                <c:pt idx="24">
                  <c:v>100</c:v>
                </c:pt>
                <c:pt idx="25">
                  <c:v>49</c:v>
                </c:pt>
                <c:pt idx="26">
                  <c:v>9</c:v>
                </c:pt>
                <c:pt idx="27">
                  <c:v>2.5</c:v>
                </c:pt>
                <c:pt idx="28">
                  <c:v>89</c:v>
                </c:pt>
                <c:pt idx="29">
                  <c:v>75.5</c:v>
                </c:pt>
                <c:pt idx="30">
                  <c:v>65</c:v>
                </c:pt>
                <c:pt idx="31">
                  <c:v>100</c:v>
                </c:pt>
                <c:pt idx="32">
                  <c:v>95</c:v>
                </c:pt>
                <c:pt idx="33">
                  <c:v>100</c:v>
                </c:pt>
                <c:pt idx="34">
                  <c:v>95</c:v>
                </c:pt>
                <c:pt idx="35">
                  <c:v>75</c:v>
                </c:pt>
                <c:pt idx="36">
                  <c:v>95</c:v>
                </c:pt>
              </c:numCache>
            </c:numRef>
          </c:xVal>
          <c:yVal>
            <c:numRef>
              <c:f>Sheet5!$C$25:$C$61</c:f>
              <c:numCache>
                <c:formatCode>General</c:formatCode>
                <c:ptCount val="37"/>
                <c:pt idx="0">
                  <c:v>-8.4557314535125355E-2</c:v>
                </c:pt>
                <c:pt idx="1">
                  <c:v>0.21544268546487497</c:v>
                </c:pt>
                <c:pt idx="2">
                  <c:v>-8.4557314535125355E-2</c:v>
                </c:pt>
                <c:pt idx="3">
                  <c:v>-8.4557314535125355E-2</c:v>
                </c:pt>
                <c:pt idx="4">
                  <c:v>-2.0427443593058277</c:v>
                </c:pt>
                <c:pt idx="5">
                  <c:v>1.0129235947661968</c:v>
                </c:pt>
                <c:pt idx="6">
                  <c:v>-4.6034504947752097</c:v>
                </c:pt>
                <c:pt idx="7">
                  <c:v>-0.5704543569912861</c:v>
                </c:pt>
                <c:pt idx="8">
                  <c:v>-8.4557314535125355E-2</c:v>
                </c:pt>
                <c:pt idx="9">
                  <c:v>-4.8742329930393034</c:v>
                </c:pt>
                <c:pt idx="10">
                  <c:v>0.41544268546487539</c:v>
                </c:pt>
                <c:pt idx="11">
                  <c:v>0.88395405173140051</c:v>
                </c:pt>
                <c:pt idx="12">
                  <c:v>-8.4557314535125355E-2</c:v>
                </c:pt>
                <c:pt idx="13">
                  <c:v>1.5154426854648737</c:v>
                </c:pt>
                <c:pt idx="14">
                  <c:v>-8.4557314535125355E-2</c:v>
                </c:pt>
                <c:pt idx="15">
                  <c:v>-0.23518708720979475</c:v>
                </c:pt>
                <c:pt idx="16">
                  <c:v>6.4812912790205332E-2</c:v>
                </c:pt>
                <c:pt idx="17">
                  <c:v>-0.14753458200207362</c:v>
                </c:pt>
                <c:pt idx="18">
                  <c:v>-8.4557314535125355E-2</c:v>
                </c:pt>
                <c:pt idx="19">
                  <c:v>-0.83770617790847324</c:v>
                </c:pt>
                <c:pt idx="20">
                  <c:v>0.25599609534483297</c:v>
                </c:pt>
                <c:pt idx="21">
                  <c:v>-4.9546376276985891</c:v>
                </c:pt>
                <c:pt idx="22">
                  <c:v>2.2610342767421918</c:v>
                </c:pt>
                <c:pt idx="23">
                  <c:v>4.9524654179979279</c:v>
                </c:pt>
                <c:pt idx="24">
                  <c:v>-8.4557314535125355E-2</c:v>
                </c:pt>
                <c:pt idx="25">
                  <c:v>-4.1666757209432692</c:v>
                </c:pt>
                <c:pt idx="26">
                  <c:v>6.2081333720699474</c:v>
                </c:pt>
                <c:pt idx="27">
                  <c:v>2.4290398496845995</c:v>
                </c:pt>
                <c:pt idx="28">
                  <c:v>1.4585151860435117</c:v>
                </c:pt>
                <c:pt idx="29">
                  <c:v>-1.4749867450645278</c:v>
                </c:pt>
                <c:pt idx="30">
                  <c:v>-4.8565993581485545</c:v>
                </c:pt>
                <c:pt idx="31">
                  <c:v>3.4154426854648698</c:v>
                </c:pt>
                <c:pt idx="32">
                  <c:v>3.0622938220915272</c:v>
                </c:pt>
                <c:pt idx="33">
                  <c:v>0.21544268546487497</c:v>
                </c:pt>
                <c:pt idx="34">
                  <c:v>0.96229382209152814</c:v>
                </c:pt>
                <c:pt idx="35">
                  <c:v>0.6496983685981389</c:v>
                </c:pt>
                <c:pt idx="36">
                  <c:v>-0.53770617790847264</c:v>
                </c:pt>
              </c:numCache>
            </c:numRef>
          </c:yVal>
        </c:ser>
        <c:axId val="47848064"/>
        <c:axId val="71230208"/>
      </c:scatterChart>
      <c:valAx>
        <c:axId val="47848064"/>
        <c:scaling>
          <c:orientation val="minMax"/>
          <c:max val="100"/>
        </c:scaling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Percent  Male Circumcision</a:t>
                </a:r>
              </a:p>
            </c:rich>
          </c:tx>
          <c:layout>
            <c:manualLayout>
              <c:xMode val="edge"/>
              <c:yMode val="edge"/>
              <c:x val="0.33121087780917929"/>
              <c:y val="0.8589779437848216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1230208"/>
        <c:crosses val="autoZero"/>
        <c:crossBetween val="midCat"/>
      </c:valAx>
      <c:valAx>
        <c:axId val="71230208"/>
        <c:scaling>
          <c:orientation val="minMax"/>
        </c:scaling>
        <c:axPos val="l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Residuals</a:t>
                </a:r>
              </a:p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 (% HIV Prevalence)</a:t>
                </a:r>
              </a:p>
            </c:rich>
          </c:tx>
          <c:layout>
            <c:manualLayout>
              <c:xMode val="edge"/>
              <c:yMode val="edge"/>
              <c:x val="3.1847199789344131E-2"/>
              <c:y val="0.32478768023704818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7848064"/>
        <c:crosses val="autoZero"/>
        <c:crossBetween val="midCat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12</cp:revision>
  <dcterms:created xsi:type="dcterms:W3CDTF">2010-10-27T23:08:00Z</dcterms:created>
  <dcterms:modified xsi:type="dcterms:W3CDTF">2010-10-31T23:19:00Z</dcterms:modified>
</cp:coreProperties>
</file>